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B25" w:rsidRPr="00BE7B25" w:rsidRDefault="00BE7B25" w:rsidP="00BE7B2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293064476"/>
      <w:r w:rsidRPr="00BE7B25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BE7B25">
        <w:rPr>
          <w:rFonts w:ascii="Times New Roman" w:hAnsi="Times New Roman" w:cs="Times New Roman"/>
          <w:sz w:val="28"/>
          <w:szCs w:val="28"/>
        </w:rPr>
        <w:t>: Эффект финансового рычага</w:t>
      </w:r>
      <w:bookmarkEnd w:id="0"/>
      <w:r>
        <w:rPr>
          <w:rFonts w:ascii="Times New Roman" w:hAnsi="Times New Roman" w:cs="Times New Roman"/>
          <w:sz w:val="28"/>
          <w:szCs w:val="28"/>
        </w:rPr>
        <w:t>. Политика привлечения заемных средств</w:t>
      </w:r>
    </w:p>
    <w:p w:rsidR="00BE7B25" w:rsidRDefault="00BE7B25" w:rsidP="00BE7B25">
      <w:pPr>
        <w:rPr>
          <w:rFonts w:ascii="Times New Roman" w:hAnsi="Times New Roman" w:cs="Times New Roman"/>
          <w:b/>
          <w:sz w:val="28"/>
          <w:szCs w:val="28"/>
        </w:rPr>
      </w:pPr>
    </w:p>
    <w:p w:rsidR="00BE7B25" w:rsidRPr="00BE7B25" w:rsidRDefault="00BE7B25" w:rsidP="00BE7B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обсуждению</w:t>
      </w:r>
    </w:p>
    <w:p w:rsidR="00BE7B25" w:rsidRPr="00BE7B25" w:rsidRDefault="00BE7B25" w:rsidP="00BE7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B25">
        <w:rPr>
          <w:rFonts w:ascii="Times New Roman" w:hAnsi="Times New Roman" w:cs="Times New Roman"/>
          <w:sz w:val="28"/>
          <w:szCs w:val="28"/>
        </w:rPr>
        <w:t>Эффект финансового рычага (европейская концепция и америка</w:t>
      </w:r>
      <w:r w:rsidRPr="00BE7B25">
        <w:rPr>
          <w:rFonts w:ascii="Times New Roman" w:hAnsi="Times New Roman" w:cs="Times New Roman"/>
          <w:sz w:val="28"/>
          <w:szCs w:val="28"/>
        </w:rPr>
        <w:t>н</w:t>
      </w:r>
      <w:r w:rsidRPr="00BE7B25">
        <w:rPr>
          <w:rFonts w:ascii="Times New Roman" w:hAnsi="Times New Roman" w:cs="Times New Roman"/>
          <w:sz w:val="28"/>
          <w:szCs w:val="28"/>
        </w:rPr>
        <w:t>ская концепции).</w:t>
      </w:r>
    </w:p>
    <w:p w:rsidR="00BE7B25" w:rsidRPr="00BE7B25" w:rsidRDefault="00BE7B25" w:rsidP="00BE7B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B25">
        <w:rPr>
          <w:rFonts w:ascii="Times New Roman" w:hAnsi="Times New Roman" w:cs="Times New Roman"/>
          <w:sz w:val="28"/>
          <w:szCs w:val="28"/>
        </w:rPr>
        <w:t>Рациональная структура источников сре</w:t>
      </w:r>
      <w:proofErr w:type="gramStart"/>
      <w:r w:rsidRPr="00BE7B2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BE7B25">
        <w:rPr>
          <w:rFonts w:ascii="Times New Roman" w:hAnsi="Times New Roman" w:cs="Times New Roman"/>
          <w:sz w:val="28"/>
          <w:szCs w:val="28"/>
        </w:rPr>
        <w:t>едприятия.</w:t>
      </w:r>
    </w:p>
    <w:p w:rsidR="00BE7B25" w:rsidRPr="00BE7B25" w:rsidRDefault="00BE7B25">
      <w:pPr>
        <w:rPr>
          <w:rFonts w:ascii="Times New Roman" w:hAnsi="Times New Roman" w:cs="Times New Roman"/>
          <w:sz w:val="28"/>
          <w:szCs w:val="28"/>
        </w:rPr>
      </w:pPr>
    </w:p>
    <w:p w:rsidR="00BE7B25" w:rsidRPr="00BE7B25" w:rsidRDefault="00BE7B25" w:rsidP="00BE7B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7B25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:rsidR="00BE7B25" w:rsidRPr="00BE7B25" w:rsidRDefault="00BE7B25" w:rsidP="00BE7B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7B25"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BE7B25" w:rsidRPr="00BE7B25" w:rsidRDefault="00BE7B25" w:rsidP="00BE7B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7B2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E7B25"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 w:rsidRPr="00BE7B25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BE7B25"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 w:rsidRPr="00BE7B25"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BE7B25" w:rsidRPr="00BE7B25" w:rsidRDefault="00BE7B25" w:rsidP="00BE7B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7B25"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BE7B25" w:rsidRPr="00BE7B25" w:rsidRDefault="00BE7B25" w:rsidP="00BE7B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7B2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E7B25"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 w:rsidRPr="00BE7B25"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BE7B25" w:rsidRPr="00BE7B25" w:rsidRDefault="00BE7B25" w:rsidP="00BE7B2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7B25"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BE7B25" w:rsidRPr="00BE7B25" w:rsidRDefault="00BE7B25" w:rsidP="00BE7B25">
      <w:pPr>
        <w:rPr>
          <w:rFonts w:ascii="Times New Roman" w:hAnsi="Times New Roman" w:cs="Times New Roman"/>
          <w:sz w:val="28"/>
          <w:szCs w:val="28"/>
        </w:rPr>
      </w:pPr>
    </w:p>
    <w:p w:rsidR="00BE7B25" w:rsidRPr="00BE7B25" w:rsidRDefault="00BE7B25" w:rsidP="00BE7B25">
      <w:pPr>
        <w:rPr>
          <w:rFonts w:ascii="Times New Roman" w:hAnsi="Times New Roman" w:cs="Times New Roman"/>
          <w:b/>
          <w:sz w:val="28"/>
          <w:szCs w:val="28"/>
        </w:rPr>
      </w:pPr>
      <w:r w:rsidRPr="00BE7B25">
        <w:rPr>
          <w:rFonts w:ascii="Times New Roman" w:hAnsi="Times New Roman" w:cs="Times New Roman"/>
          <w:b/>
          <w:sz w:val="28"/>
          <w:szCs w:val="28"/>
        </w:rPr>
        <w:t>Контрольные вопросы:</w:t>
      </w:r>
    </w:p>
    <w:p w:rsidR="00BE7B25" w:rsidRPr="00BE7B25" w:rsidRDefault="00BE7B25" w:rsidP="00BE7B2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7B25">
        <w:rPr>
          <w:rFonts w:ascii="Times New Roman" w:hAnsi="Times New Roman" w:cs="Times New Roman"/>
          <w:sz w:val="28"/>
          <w:szCs w:val="28"/>
        </w:rPr>
        <w:t>В чем смысл финансового рычага?</w:t>
      </w:r>
    </w:p>
    <w:p w:rsidR="00BE7B25" w:rsidRPr="00BE7B25" w:rsidRDefault="00BE7B25" w:rsidP="00BE7B2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7B25">
        <w:rPr>
          <w:rFonts w:ascii="Times New Roman" w:hAnsi="Times New Roman" w:cs="Times New Roman"/>
          <w:sz w:val="28"/>
          <w:szCs w:val="28"/>
        </w:rPr>
        <w:t>Что означает, если дифференциал равен нулю?</w:t>
      </w:r>
    </w:p>
    <w:p w:rsidR="00BE7B25" w:rsidRPr="00BE7B25" w:rsidRDefault="00BE7B25" w:rsidP="00BE7B2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7B25">
        <w:rPr>
          <w:rFonts w:ascii="Times New Roman" w:hAnsi="Times New Roman" w:cs="Times New Roman"/>
          <w:sz w:val="28"/>
          <w:szCs w:val="28"/>
        </w:rPr>
        <w:t>Как определяется средняя расчетная ставка процента?</w:t>
      </w:r>
    </w:p>
    <w:p w:rsidR="00BE7B25" w:rsidRPr="00BE7B25" w:rsidRDefault="00BE7B25" w:rsidP="00BE7B2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7B25">
        <w:rPr>
          <w:rFonts w:ascii="Times New Roman" w:hAnsi="Times New Roman" w:cs="Times New Roman"/>
          <w:sz w:val="28"/>
          <w:szCs w:val="28"/>
        </w:rPr>
        <w:t>Какие факторы влияют на увеличение эффекта финансового р</w:t>
      </w:r>
      <w:r w:rsidRPr="00BE7B25">
        <w:rPr>
          <w:rFonts w:ascii="Times New Roman" w:hAnsi="Times New Roman" w:cs="Times New Roman"/>
          <w:sz w:val="28"/>
          <w:szCs w:val="28"/>
        </w:rPr>
        <w:t>ы</w:t>
      </w:r>
      <w:r w:rsidRPr="00BE7B25">
        <w:rPr>
          <w:rFonts w:ascii="Times New Roman" w:hAnsi="Times New Roman" w:cs="Times New Roman"/>
          <w:sz w:val="28"/>
          <w:szCs w:val="28"/>
        </w:rPr>
        <w:t>чага?</w:t>
      </w:r>
    </w:p>
    <w:p w:rsidR="00BE7B25" w:rsidRPr="00BE7B25" w:rsidRDefault="00BE7B25" w:rsidP="00BE7B2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7B25">
        <w:rPr>
          <w:rFonts w:ascii="Times New Roman" w:hAnsi="Times New Roman" w:cs="Times New Roman"/>
          <w:sz w:val="28"/>
          <w:szCs w:val="28"/>
        </w:rPr>
        <w:t>Может ли плечо финансового рычага быть равно нулю?</w:t>
      </w:r>
    </w:p>
    <w:p w:rsidR="00BE7B25" w:rsidRPr="00BE7B25" w:rsidRDefault="00BE7B25" w:rsidP="00BE7B25">
      <w:pPr>
        <w:tabs>
          <w:tab w:val="left" w:pos="-5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BE7B25" w:rsidRDefault="00BE7B25" w:rsidP="00BE7B25">
      <w:pPr>
        <w:rPr>
          <w:rFonts w:ascii="Times New Roman" w:hAnsi="Times New Roman" w:cs="Times New Roman"/>
          <w:sz w:val="28"/>
          <w:szCs w:val="28"/>
        </w:rPr>
      </w:pPr>
    </w:p>
    <w:sectPr w:rsidR="00000000" w:rsidRPr="00BE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34BBA"/>
    <w:multiLevelType w:val="hybridMultilevel"/>
    <w:tmpl w:val="EB5A64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F3F5027"/>
    <w:multiLevelType w:val="hybridMultilevel"/>
    <w:tmpl w:val="4AE0FC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7B25"/>
    <w:rsid w:val="00BE7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E7B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7B25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BE7B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Application>Microsoft Office Word</Application>
  <DocSecurity>0</DocSecurity>
  <Lines>6</Lines>
  <Paragraphs>1</Paragraphs>
  <ScaleCrop>false</ScaleCrop>
  <Company>Microsoft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2013-12-28T06:25:00Z</dcterms:created>
  <dcterms:modified xsi:type="dcterms:W3CDTF">2013-12-28T06:28:00Z</dcterms:modified>
</cp:coreProperties>
</file>